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E57B4A" w14:textId="0D749781" w:rsidR="00737202" w:rsidRDefault="00737202" w:rsidP="00B108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</w:pPr>
      <w:r>
        <w:rPr>
          <w:noProof/>
          <w:color w:val="222222"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7E78761" wp14:editId="50D23392">
            <wp:simplePos x="0" y="0"/>
            <wp:positionH relativeFrom="column">
              <wp:posOffset>1913255</wp:posOffset>
            </wp:positionH>
            <wp:positionV relativeFrom="paragraph">
              <wp:posOffset>-389678</wp:posOffset>
            </wp:positionV>
            <wp:extent cx="2148841" cy="716280"/>
            <wp:effectExtent l="0" t="0" r="0" b="0"/>
            <wp:wrapNone/>
            <wp:docPr id="1923532748" name="Picture 1" descr="A yellow leaf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3532748" name="Picture 1" descr="A yellow leaf with blu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48841" cy="716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37B9B4" w14:textId="4AACCB0A" w:rsidR="00737202" w:rsidRDefault="00737202" w:rsidP="00B108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</w:pPr>
    </w:p>
    <w:p w14:paraId="0587C1EC" w14:textId="08D4AD36" w:rsidR="00737202" w:rsidRDefault="00737202" w:rsidP="00B108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</w:pPr>
    </w:p>
    <w:p w14:paraId="30FBDE92" w14:textId="47BB11C6" w:rsidR="00737202" w:rsidRDefault="00737202" w:rsidP="00B108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</w:pPr>
    </w:p>
    <w:p w14:paraId="28534708" w14:textId="3F6A137A" w:rsidR="00737202" w:rsidRPr="00737202" w:rsidRDefault="00737202" w:rsidP="00B108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</w:pPr>
      <w:proofErr w:type="spellStart"/>
      <w:r w:rsidRPr="00737202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>CanCambria</w:t>
      </w:r>
      <w:proofErr w:type="spellEnd"/>
      <w:r w:rsidRPr="00737202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 xml:space="preserve"> Energy Corp.</w:t>
      </w:r>
    </w:p>
    <w:p w14:paraId="1E28021F" w14:textId="22BAE66F" w:rsidR="00737202" w:rsidRPr="00737202" w:rsidRDefault="00737202" w:rsidP="00B108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</w:pPr>
    </w:p>
    <w:p w14:paraId="543CF69C" w14:textId="40D85BA8" w:rsidR="00B108F2" w:rsidRPr="00737202" w:rsidRDefault="00B108F2" w:rsidP="00B108F2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737202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 xml:space="preserve">Symbol: </w:t>
      </w:r>
      <w:r w:rsidRPr="00737202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TSXV: </w:t>
      </w:r>
      <w:r w:rsidR="00737202" w:rsidRPr="00737202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CCEC | OTCQB: CCEYF</w:t>
      </w:r>
      <w:r w:rsidRPr="00737202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br/>
      </w:r>
      <w:r w:rsidRPr="00737202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>Market Cap:</w:t>
      </w:r>
      <w:r w:rsidR="00737202" w:rsidRPr="00737202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 xml:space="preserve"> </w:t>
      </w:r>
      <w:r w:rsidR="00737202" w:rsidRPr="00737202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73M</w:t>
      </w:r>
      <w:r w:rsidRPr="00737202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br/>
        <w:t xml:space="preserve">Sector: </w:t>
      </w:r>
      <w:r w:rsidRPr="00737202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Energy</w:t>
      </w:r>
    </w:p>
    <w:p w14:paraId="152A9DA8" w14:textId="3BB68EC5" w:rsidR="00B108F2" w:rsidRPr="00737202" w:rsidRDefault="00B108F2" w:rsidP="00B108F2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r w:rsidRPr="00737202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 xml:space="preserve">Purpose: </w:t>
      </w:r>
      <w:r w:rsidRPr="00737202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Raise Awareness / Open Market Buying</w:t>
      </w:r>
    </w:p>
    <w:p w14:paraId="0777AA3B" w14:textId="12222A52" w:rsidR="00B108F2" w:rsidRPr="00737202" w:rsidRDefault="00B108F2" w:rsidP="00B108F2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</w:p>
    <w:p w14:paraId="21E20F3E" w14:textId="1427F6F6" w:rsidR="00B108F2" w:rsidRPr="00737202" w:rsidRDefault="00B108F2" w:rsidP="00B108F2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  <w:proofErr w:type="spellStart"/>
      <w:r w:rsidRPr="00B108F2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CanCambria</w:t>
      </w:r>
      <w:proofErr w:type="spellEnd"/>
      <w:r w:rsidRPr="00B108F2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Energy Corp. is a Canadian-based exploration and production company specializing in tight gas development. With a globally experienced leadership team, </w:t>
      </w:r>
      <w:proofErr w:type="spellStart"/>
      <w:r w:rsidRPr="00B108F2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CanCambria</w:t>
      </w:r>
      <w:proofErr w:type="spellEnd"/>
      <w:r w:rsidRPr="00B108F2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focuses on high-quality, de-risked projects with direct access to profitable markets. Leveraging industries; most advanced technologies they aim to commercialize their flagship asset, the 100% owned </w:t>
      </w:r>
      <w:proofErr w:type="spellStart"/>
      <w:r w:rsidRPr="00B108F2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Kiskunhalas</w:t>
      </w:r>
      <w:proofErr w:type="spellEnd"/>
      <w:r w:rsidRPr="00B108F2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Project in southern Hungary, a significant gas-condensate resource in the heart of Europe.</w:t>
      </w:r>
    </w:p>
    <w:p w14:paraId="6800C08C" w14:textId="6B689148" w:rsidR="00737202" w:rsidRPr="00737202" w:rsidRDefault="00737202" w:rsidP="00B108F2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</w:p>
    <w:p w14:paraId="746E0F9B" w14:textId="475DC040" w:rsidR="00737202" w:rsidRPr="00737202" w:rsidRDefault="00737202" w:rsidP="00B108F2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</w:pPr>
      <w:r w:rsidRPr="00737202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 xml:space="preserve">Investor </w:t>
      </w:r>
      <w:proofErr w:type="gramStart"/>
      <w:r w:rsidRPr="00737202">
        <w:rPr>
          <w:rFonts w:ascii="Times New Roman" w:eastAsia="Times New Roman" w:hAnsi="Times New Roman" w:cs="Times New Roman"/>
          <w:b/>
          <w:bCs/>
          <w:color w:val="222222"/>
          <w:kern w:val="0"/>
          <w:sz w:val="26"/>
          <w:szCs w:val="26"/>
          <w14:ligatures w14:val="none"/>
        </w:rPr>
        <w:t>Highlights;</w:t>
      </w:r>
      <w:proofErr w:type="gramEnd"/>
    </w:p>
    <w:p w14:paraId="5F78D574" w14:textId="1649626B" w:rsidR="00737202" w:rsidRPr="00737202" w:rsidRDefault="00737202" w:rsidP="00B108F2">
      <w:pPr>
        <w:spacing w:after="0" w:line="240" w:lineRule="auto"/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</w:pPr>
    </w:p>
    <w:p w14:paraId="56CEF78E" w14:textId="2EC3F5D5" w:rsidR="00737202" w:rsidRPr="00737202" w:rsidRDefault="00737202" w:rsidP="00737202">
      <w:pPr>
        <w:pStyle w:val="NormalWeb"/>
        <w:numPr>
          <w:ilvl w:val="0"/>
          <w:numId w:val="1"/>
        </w:numPr>
        <w:spacing w:before="0" w:beforeAutospacing="0" w:after="200" w:afterAutospacing="0"/>
        <w:textAlignment w:val="baseline"/>
        <w:rPr>
          <w:color w:val="222222"/>
          <w:sz w:val="26"/>
          <w:szCs w:val="26"/>
        </w:rPr>
      </w:pPr>
      <w:r w:rsidRPr="00737202">
        <w:rPr>
          <w:color w:val="222222"/>
          <w:sz w:val="26"/>
          <w:szCs w:val="26"/>
        </w:rPr>
        <w:t>Low risk appraisal / development of a large liquids-rich gas project in a proven basin in Central Europe.</w:t>
      </w:r>
    </w:p>
    <w:p w14:paraId="5CFBEACF" w14:textId="126E1FEC" w:rsidR="00737202" w:rsidRPr="00737202" w:rsidRDefault="00737202" w:rsidP="00737202">
      <w:pPr>
        <w:pStyle w:val="NormalWeb"/>
        <w:numPr>
          <w:ilvl w:val="0"/>
          <w:numId w:val="1"/>
        </w:numPr>
        <w:spacing w:before="0" w:beforeAutospacing="0" w:after="200" w:afterAutospacing="0"/>
        <w:textAlignment w:val="baseline"/>
        <w:rPr>
          <w:color w:val="222222"/>
          <w:sz w:val="26"/>
          <w:szCs w:val="26"/>
        </w:rPr>
      </w:pPr>
      <w:r w:rsidRPr="00737202">
        <w:rPr>
          <w:color w:val="222222"/>
          <w:sz w:val="26"/>
          <w:szCs w:val="26"/>
        </w:rPr>
        <w:t>Excellent fiscal terms and commodity pricing with available infrastructure to speed development and maximize investor returns.</w:t>
      </w:r>
    </w:p>
    <w:p w14:paraId="476BFA70" w14:textId="52ED8177" w:rsidR="00737202" w:rsidRPr="00737202" w:rsidRDefault="00737202" w:rsidP="00737202">
      <w:pPr>
        <w:pStyle w:val="NormalWeb"/>
        <w:numPr>
          <w:ilvl w:val="0"/>
          <w:numId w:val="1"/>
        </w:numPr>
        <w:spacing w:before="240" w:beforeAutospacing="0" w:after="200" w:afterAutospacing="0"/>
        <w:textAlignment w:val="baseline"/>
        <w:rPr>
          <w:color w:val="222222"/>
          <w:sz w:val="26"/>
          <w:szCs w:val="26"/>
        </w:rPr>
      </w:pPr>
      <w:r w:rsidRPr="00737202">
        <w:rPr>
          <w:color w:val="222222"/>
          <w:sz w:val="26"/>
          <w:szCs w:val="26"/>
        </w:rPr>
        <w:t>Led by a management team with an extensive track record of success developing unconventional projects.</w:t>
      </w:r>
    </w:p>
    <w:p w14:paraId="694DC957" w14:textId="2429928A" w:rsidR="00737202" w:rsidRPr="00737202" w:rsidRDefault="00737202" w:rsidP="00737202">
      <w:pPr>
        <w:pStyle w:val="NormalWeb"/>
        <w:spacing w:before="240" w:beforeAutospacing="0" w:after="200" w:afterAutospacing="0"/>
        <w:textAlignment w:val="baseline"/>
        <w:rPr>
          <w:b/>
          <w:bCs/>
          <w:color w:val="222222"/>
          <w:sz w:val="26"/>
          <w:szCs w:val="26"/>
        </w:rPr>
      </w:pPr>
      <w:r w:rsidRPr="00737202">
        <w:rPr>
          <w:b/>
          <w:bCs/>
          <w:color w:val="222222"/>
          <w:sz w:val="26"/>
          <w:szCs w:val="26"/>
        </w:rPr>
        <w:t>Paul Clarke – President &amp; CEO</w:t>
      </w:r>
    </w:p>
    <w:p w14:paraId="4D71B5CA" w14:textId="7D28488F" w:rsidR="00B108F2" w:rsidRPr="00737202" w:rsidRDefault="00737202" w:rsidP="00737202">
      <w:pPr>
        <w:spacing w:after="0" w:line="240" w:lineRule="auto"/>
        <w:rPr>
          <w:rFonts w:ascii="Times New Roman" w:eastAsia="Times New Roman" w:hAnsi="Times New Roman" w:cs="Times New Roman"/>
          <w:kern w:val="0"/>
          <w:sz w:val="26"/>
          <w:szCs w:val="26"/>
          <w14:ligatures w14:val="none"/>
        </w:rPr>
      </w:pPr>
      <w:r w:rsidRPr="00737202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Dr. Clarke joined </w:t>
      </w:r>
      <w:proofErr w:type="spellStart"/>
      <w:r w:rsidRPr="00737202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CanCambria</w:t>
      </w:r>
      <w:proofErr w:type="spellEnd"/>
      <w:r w:rsidRPr="00737202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in mid-2022 as VP of Exploration and has 25 years of experience in the oil and gas industry. One of the E&amp;P industry’s leading unconventional experts, a “blue-ribbon” oil and gas finder and developer. Dr. Clarke has deep technical and broad operational proficiency, leading complex teams and having held roles of increasing responsibility with large-cap U.S. independents. At the forefront of several major onshore exploration, appraisal, and development programs. Operated assets include the Eagle Ford and </w:t>
      </w:r>
      <w:proofErr w:type="spellStart"/>
      <w:r w:rsidRPr="00737202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Spraberry</w:t>
      </w:r>
      <w:proofErr w:type="spellEnd"/>
      <w:r w:rsidRPr="00737202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/</w:t>
      </w:r>
      <w:proofErr w:type="spellStart"/>
      <w:r w:rsidRPr="00737202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>Wolfcamp</w:t>
      </w:r>
      <w:proofErr w:type="spellEnd"/>
      <w:r w:rsidRPr="00737202">
        <w:rPr>
          <w:rFonts w:ascii="Times New Roman" w:eastAsia="Times New Roman" w:hAnsi="Times New Roman" w:cs="Times New Roman"/>
          <w:color w:val="222222"/>
          <w:kern w:val="0"/>
          <w:sz w:val="26"/>
          <w:szCs w:val="26"/>
          <w14:ligatures w14:val="none"/>
        </w:rPr>
        <w:t xml:space="preserve"> trends, executing over 1,000 horizontal wells (with NYSE: PXD), and the giant Pinedale Field with Ultra Petroleum. Dr. Clarke has a passion for identifying opportunities and value-creation via the drill-bit. As a practical technical leader, his strengths include creativity and problem-solving. His track record is defined by practical, analytical, and strategic decision-making, also working with a sense of urgency.</w:t>
      </w:r>
    </w:p>
    <w:sectPr w:rsidR="00B108F2" w:rsidRPr="007372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3968C2"/>
    <w:multiLevelType w:val="multilevel"/>
    <w:tmpl w:val="686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374732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8F2"/>
    <w:rsid w:val="00737202"/>
    <w:rsid w:val="00A83161"/>
    <w:rsid w:val="00B1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B8953"/>
  <w15:chartTrackingRefBased/>
  <w15:docId w15:val="{4F8FA4DA-194D-9C47-BDC1-6AAB8ECBA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08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08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108F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108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08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08F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08F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08F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08F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08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08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108F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108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108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08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08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08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08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108F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108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108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108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108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108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108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108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108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108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108F2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7372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39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295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Rachael Fitch</dc:creator>
  <cp:keywords/>
  <dc:description/>
  <cp:lastModifiedBy>Rachael Fitch</cp:lastModifiedBy>
  <cp:revision>1</cp:revision>
  <dcterms:created xsi:type="dcterms:W3CDTF">2025-06-16T04:01:00Z</dcterms:created>
  <dcterms:modified xsi:type="dcterms:W3CDTF">2025-06-16T04:18:00Z</dcterms:modified>
</cp:coreProperties>
</file>