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AF6B5" w14:textId="17092E66" w:rsidR="000C277D" w:rsidRDefault="000C277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645ABA3" wp14:editId="77765367">
            <wp:simplePos x="0" y="0"/>
            <wp:positionH relativeFrom="column">
              <wp:posOffset>2082800</wp:posOffset>
            </wp:positionH>
            <wp:positionV relativeFrom="paragraph">
              <wp:posOffset>-254000</wp:posOffset>
            </wp:positionV>
            <wp:extent cx="1625600" cy="419272"/>
            <wp:effectExtent l="0" t="0" r="0" b="0"/>
            <wp:wrapNone/>
            <wp:docPr id="1670641377" name="Picture 1" descr="A blue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641377" name="Picture 1" descr="A blue text on a white backgroun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419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C57521" w14:textId="77777777" w:rsidR="000C277D" w:rsidRDefault="000C277D">
      <w:pPr>
        <w:rPr>
          <w:rFonts w:ascii="Times New Roman" w:hAnsi="Times New Roman" w:cs="Times New Roman"/>
          <w:b/>
          <w:bCs/>
        </w:rPr>
      </w:pPr>
    </w:p>
    <w:p w14:paraId="59C6F0C4" w14:textId="50B74456" w:rsidR="00E050EB" w:rsidRPr="000C277D" w:rsidRDefault="00D96B94">
      <w:pPr>
        <w:rPr>
          <w:rFonts w:ascii="Times New Roman" w:hAnsi="Times New Roman" w:cs="Times New Roman"/>
          <w:b/>
          <w:bCs/>
        </w:rPr>
      </w:pPr>
      <w:proofErr w:type="spellStart"/>
      <w:r w:rsidRPr="000C277D">
        <w:rPr>
          <w:rFonts w:ascii="Times New Roman" w:hAnsi="Times New Roman" w:cs="Times New Roman"/>
          <w:b/>
          <w:bCs/>
        </w:rPr>
        <w:t>Hydreight</w:t>
      </w:r>
      <w:proofErr w:type="spellEnd"/>
      <w:r w:rsidRPr="000C277D">
        <w:rPr>
          <w:rFonts w:ascii="Times New Roman" w:hAnsi="Times New Roman" w:cs="Times New Roman"/>
          <w:b/>
          <w:bCs/>
        </w:rPr>
        <w:t xml:space="preserve"> Technologies Inc.</w:t>
      </w:r>
    </w:p>
    <w:p w14:paraId="5138A886" w14:textId="00993961" w:rsidR="00D96B94" w:rsidRPr="000C277D" w:rsidRDefault="00D96B94">
      <w:pPr>
        <w:rPr>
          <w:rFonts w:ascii="Times New Roman" w:hAnsi="Times New Roman" w:cs="Times New Roman"/>
        </w:rPr>
      </w:pPr>
      <w:r w:rsidRPr="000C277D">
        <w:rPr>
          <w:rFonts w:ascii="Times New Roman" w:hAnsi="Times New Roman" w:cs="Times New Roman"/>
          <w:b/>
          <w:bCs/>
        </w:rPr>
        <w:t xml:space="preserve">Symbol </w:t>
      </w:r>
      <w:r w:rsidRPr="000C277D">
        <w:rPr>
          <w:rFonts w:ascii="Times New Roman" w:hAnsi="Times New Roman" w:cs="Times New Roman"/>
        </w:rPr>
        <w:t xml:space="preserve">TSXV: NURS | </w:t>
      </w:r>
      <w:r w:rsidR="00455B8A" w:rsidRPr="000C277D">
        <w:rPr>
          <w:rFonts w:ascii="Times New Roman" w:hAnsi="Times New Roman" w:cs="Times New Roman"/>
        </w:rPr>
        <w:t>OTCQB: HYDTF</w:t>
      </w:r>
      <w:r w:rsidRPr="000C277D">
        <w:rPr>
          <w:rFonts w:ascii="Times New Roman" w:hAnsi="Times New Roman" w:cs="Times New Roman"/>
          <w:b/>
          <w:bCs/>
        </w:rPr>
        <w:br/>
        <w:t xml:space="preserve">Sector: </w:t>
      </w:r>
      <w:r w:rsidR="00805E93">
        <w:rPr>
          <w:rFonts w:ascii="Times New Roman" w:hAnsi="Times New Roman" w:cs="Times New Roman"/>
        </w:rPr>
        <w:t>Healthcare</w:t>
      </w:r>
      <w:r w:rsidRPr="000C277D">
        <w:rPr>
          <w:rFonts w:ascii="Times New Roman" w:hAnsi="Times New Roman" w:cs="Times New Roman"/>
          <w:b/>
          <w:bCs/>
        </w:rPr>
        <w:br/>
        <w:t xml:space="preserve">Purpose: </w:t>
      </w:r>
      <w:r w:rsidRPr="000C277D">
        <w:rPr>
          <w:rFonts w:ascii="Times New Roman" w:hAnsi="Times New Roman" w:cs="Times New Roman"/>
        </w:rPr>
        <w:t>Raise Awareness / Open Market Buying</w:t>
      </w:r>
    </w:p>
    <w:p w14:paraId="405C4B37" w14:textId="027829F6" w:rsidR="00D96B94" w:rsidRPr="000C277D" w:rsidRDefault="00D96B94" w:rsidP="00D96B94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  <w:proofErr w:type="spellStart"/>
      <w:r w:rsidRPr="00D96B94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Hydreight</w:t>
      </w:r>
      <w:proofErr w:type="spellEnd"/>
      <w:r w:rsidRPr="00D96B94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 xml:space="preserve"> Technologies Inc. is a profitable, high-growth health tech company operating one of the largest mobile clinical networks in the United States. The Company’s integrated telehealth, pharmacy, and provider platform enables 3,000+ nurses and 200+ physicians to deliver care directly to patients nationwide, powering over 400 D2C healthcare brands. Hydreight’s fully compliant infrastructure spans all 50 states and supports services across GLP-1 weight loss, IV therapy, hormone health, and diagnostics. With strong recurring revenue, positive adjusted EBITDA, and exposure to fast-scaling wellness sectors, </w:t>
      </w:r>
      <w:proofErr w:type="spellStart"/>
      <w:r w:rsidRPr="00D96B94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Hydreight</w:t>
      </w:r>
      <w:proofErr w:type="spellEnd"/>
      <w:r w:rsidRPr="00D96B94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 xml:space="preserve"> is positioned to capitalize on the $4.9T U.S. healthcare opportunity.</w:t>
      </w:r>
    </w:p>
    <w:p w14:paraId="14095E35" w14:textId="77777777" w:rsidR="00455B8A" w:rsidRPr="000C277D" w:rsidRDefault="00455B8A" w:rsidP="00D96B94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14:ligatures w14:val="none"/>
        </w:rPr>
      </w:pPr>
    </w:p>
    <w:p w14:paraId="4C451CA3" w14:textId="55BD937D" w:rsidR="00455B8A" w:rsidRPr="000C277D" w:rsidRDefault="00455B8A" w:rsidP="00D96B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14:ligatures w14:val="none"/>
        </w:rPr>
      </w:pPr>
      <w:r w:rsidRPr="000C277D">
        <w:rPr>
          <w:rFonts w:ascii="Times New Roman" w:eastAsia="Times New Roman" w:hAnsi="Times New Roman" w:cs="Times New Roman"/>
          <w:b/>
          <w:bCs/>
          <w:color w:val="333333"/>
          <w:kern w:val="0"/>
          <w14:ligatures w14:val="none"/>
        </w:rPr>
        <w:t>Investor Bullet Points:</w:t>
      </w:r>
    </w:p>
    <w:p w14:paraId="1E7F75F0" w14:textId="77777777" w:rsidR="00455B8A" w:rsidRPr="000C277D" w:rsidRDefault="00455B8A" w:rsidP="00D96B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14:ligatures w14:val="none"/>
        </w:rPr>
      </w:pPr>
    </w:p>
    <w:p w14:paraId="0AC67A06" w14:textId="77777777" w:rsidR="00455B8A" w:rsidRPr="000C277D" w:rsidRDefault="00455B8A" w:rsidP="00455B8A">
      <w:pPr>
        <w:pStyle w:val="NormalWeb"/>
        <w:numPr>
          <w:ilvl w:val="0"/>
          <w:numId w:val="1"/>
        </w:numPr>
        <w:spacing w:before="0" w:beforeAutospacing="0" w:after="200" w:afterAutospacing="0"/>
        <w:textAlignment w:val="baseline"/>
        <w:rPr>
          <w:color w:val="333333"/>
        </w:rPr>
      </w:pPr>
      <w:r w:rsidRPr="000C277D">
        <w:rPr>
          <w:b/>
          <w:bCs/>
          <w:color w:val="333333"/>
        </w:rPr>
        <w:t xml:space="preserve">5,400% Revenue Growth Since Inception | </w:t>
      </w:r>
      <w:r w:rsidRPr="000C277D">
        <w:rPr>
          <w:color w:val="333333"/>
        </w:rPr>
        <w:t>From $400K to over $22M in revenue in just five years, with positive adjusted EBITDA and strong cash flow — rare in the digital health sector.</w:t>
      </w:r>
    </w:p>
    <w:p w14:paraId="7B43DCBE" w14:textId="77777777" w:rsidR="00455B8A" w:rsidRPr="000C277D" w:rsidRDefault="00455B8A" w:rsidP="00455B8A">
      <w:pPr>
        <w:pStyle w:val="NormalWeb"/>
        <w:numPr>
          <w:ilvl w:val="0"/>
          <w:numId w:val="2"/>
        </w:numPr>
        <w:spacing w:before="0" w:beforeAutospacing="0" w:after="200" w:afterAutospacing="0"/>
        <w:textAlignment w:val="baseline"/>
        <w:rPr>
          <w:color w:val="333333"/>
        </w:rPr>
      </w:pPr>
      <w:r w:rsidRPr="000C277D">
        <w:rPr>
          <w:b/>
          <w:bCs/>
          <w:color w:val="333333"/>
        </w:rPr>
        <w:t xml:space="preserve">Fully Compliant, Scalable Platform Across 50 States | </w:t>
      </w:r>
      <w:proofErr w:type="spellStart"/>
      <w:r w:rsidRPr="000C277D">
        <w:rPr>
          <w:color w:val="333333"/>
        </w:rPr>
        <w:t>Hydreight</w:t>
      </w:r>
      <w:proofErr w:type="spellEnd"/>
      <w:r w:rsidRPr="000C277D">
        <w:rPr>
          <w:color w:val="333333"/>
        </w:rPr>
        <w:t xml:space="preserve"> is one of the only healthcare companies with an integrated, nationwide network of doctors, nurses, and pharmacy partners — enabling seamless launch and scale for D2C healthcare brands.</w:t>
      </w:r>
    </w:p>
    <w:p w14:paraId="757862F0" w14:textId="77777777" w:rsidR="00455B8A" w:rsidRPr="000C277D" w:rsidRDefault="00455B8A" w:rsidP="00455B8A">
      <w:pPr>
        <w:pStyle w:val="NormalWeb"/>
        <w:numPr>
          <w:ilvl w:val="0"/>
          <w:numId w:val="3"/>
        </w:numPr>
        <w:spacing w:before="0" w:beforeAutospacing="0" w:after="200" w:afterAutospacing="0"/>
        <w:textAlignment w:val="baseline"/>
        <w:rPr>
          <w:color w:val="000000"/>
        </w:rPr>
      </w:pPr>
      <w:r w:rsidRPr="000C277D">
        <w:rPr>
          <w:b/>
          <w:bCs/>
          <w:color w:val="333333"/>
        </w:rPr>
        <w:t xml:space="preserve">Major Exposure to High-Growth Health Markets | </w:t>
      </w:r>
      <w:r w:rsidRPr="000C277D">
        <w:rPr>
          <w:color w:val="333333"/>
        </w:rPr>
        <w:t>Active in GLP-1 weight loss, at-home diagnostics, TRT, peptides, anti-aging and longevity treatments — categories collectively representing over $500B in projected global market opportunity by 2030.</w:t>
      </w:r>
      <w:r w:rsidRPr="000C277D">
        <w:rPr>
          <w:color w:val="000000"/>
        </w:rPr>
        <w:t> </w:t>
      </w:r>
    </w:p>
    <w:p w14:paraId="035FCFD0" w14:textId="77777777" w:rsidR="000C277D" w:rsidRPr="000C277D" w:rsidRDefault="000C277D" w:rsidP="00D96B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14:ligatures w14:val="none"/>
        </w:rPr>
      </w:pPr>
    </w:p>
    <w:p w14:paraId="0F919BBF" w14:textId="341E2435" w:rsidR="00455B8A" w:rsidRPr="000C277D" w:rsidRDefault="000C277D" w:rsidP="00D96B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14:ligatures w14:val="none"/>
        </w:rPr>
      </w:pPr>
      <w:r w:rsidRPr="000C277D">
        <w:rPr>
          <w:rFonts w:ascii="Times New Roman" w:eastAsia="Times New Roman" w:hAnsi="Times New Roman" w:cs="Times New Roman"/>
          <w:b/>
          <w:bCs/>
          <w:color w:val="333333"/>
          <w:kern w:val="0"/>
          <w14:ligatures w14:val="none"/>
        </w:rPr>
        <w:t xml:space="preserve">Vahid Shababi – President </w:t>
      </w:r>
    </w:p>
    <w:p w14:paraId="0FAE2381" w14:textId="77777777" w:rsidR="000C277D" w:rsidRPr="000C277D" w:rsidRDefault="000C277D" w:rsidP="00D96B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14:ligatures w14:val="none"/>
        </w:rPr>
      </w:pPr>
    </w:p>
    <w:p w14:paraId="3025E855" w14:textId="77777777" w:rsidR="000C277D" w:rsidRPr="000C277D" w:rsidRDefault="000C277D" w:rsidP="000C277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C277D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 xml:space="preserve">Vahid Shababi is one of the architects behind the Company’s 5,400% revenue growth over the past five years. A seasoned tech operator and growth strategist, Vahid has scaled multiple SaaS and digital health ventures from early stage to acquisition or public listing. He was a key executive at </w:t>
      </w:r>
      <w:proofErr w:type="spellStart"/>
      <w:r w:rsidRPr="000C277D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PerfectMind</w:t>
      </w:r>
      <w:proofErr w:type="spellEnd"/>
      <w:r w:rsidRPr="000C277D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 xml:space="preserve">, a SaaS platform acquired by TSG (an Advent Portfolio Company), and has overseen several exits across </w:t>
      </w:r>
      <w:proofErr w:type="spellStart"/>
      <w:r w:rsidRPr="000C277D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healthtech</w:t>
      </w:r>
      <w:proofErr w:type="spellEnd"/>
      <w:r w:rsidRPr="000C277D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 xml:space="preserve"> and software verticals. At </w:t>
      </w:r>
      <w:proofErr w:type="spellStart"/>
      <w:r w:rsidRPr="000C277D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Hydreight</w:t>
      </w:r>
      <w:proofErr w:type="spellEnd"/>
      <w:r w:rsidRPr="000C277D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 xml:space="preserve">, he has led the national expansion of the platform across all 50 states, the onboarding of 400+ D2C health brands, and the Company’s transition to profitability. In addition to </w:t>
      </w:r>
      <w:proofErr w:type="spellStart"/>
      <w:r w:rsidRPr="000C277D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Hydreight</w:t>
      </w:r>
      <w:proofErr w:type="spellEnd"/>
      <w:r w:rsidRPr="000C277D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, Vahid serves as Chief Growth Officer at Victory Square Technologies, where he played a pivotal role in scaling portfolio companies and leading go-public strategies.</w:t>
      </w:r>
    </w:p>
    <w:p w14:paraId="33D09A87" w14:textId="1E82A8F7" w:rsidR="000C277D" w:rsidRPr="000C277D" w:rsidRDefault="000C277D" w:rsidP="00D96B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14:ligatures w14:val="none"/>
        </w:rPr>
      </w:pPr>
    </w:p>
    <w:p w14:paraId="24C16C3F" w14:textId="77777777" w:rsidR="00D96B94" w:rsidRPr="000C277D" w:rsidRDefault="00D96B94">
      <w:pPr>
        <w:rPr>
          <w:rFonts w:ascii="Times New Roman" w:hAnsi="Times New Roman" w:cs="Times New Roman"/>
        </w:rPr>
      </w:pPr>
    </w:p>
    <w:sectPr w:rsidR="00D96B94" w:rsidRPr="000C27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B0276"/>
    <w:multiLevelType w:val="multilevel"/>
    <w:tmpl w:val="0B90F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B45B00"/>
    <w:multiLevelType w:val="multilevel"/>
    <w:tmpl w:val="CCC2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8D38A9"/>
    <w:multiLevelType w:val="multilevel"/>
    <w:tmpl w:val="B004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3510477">
    <w:abstractNumId w:val="1"/>
  </w:num>
  <w:num w:numId="2" w16cid:durableId="1758013547">
    <w:abstractNumId w:val="0"/>
  </w:num>
  <w:num w:numId="3" w16cid:durableId="349069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94"/>
    <w:rsid w:val="0003571C"/>
    <w:rsid w:val="0004256A"/>
    <w:rsid w:val="000C277D"/>
    <w:rsid w:val="00455B8A"/>
    <w:rsid w:val="00805E93"/>
    <w:rsid w:val="00934FCF"/>
    <w:rsid w:val="00AB0FB0"/>
    <w:rsid w:val="00AD1AB6"/>
    <w:rsid w:val="00C44F64"/>
    <w:rsid w:val="00D96B94"/>
    <w:rsid w:val="00E0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8FBA1"/>
  <w15:chartTrackingRefBased/>
  <w15:docId w15:val="{A0FEC7C9-4D5D-0444-BE75-B676E56A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6B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6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6B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6B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6B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6B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6B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6B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6B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B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6B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6B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6B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6B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6B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6B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6B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6B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6B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6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B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6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6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6B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6B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6B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6B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6B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6B9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55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0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Fitch</dc:creator>
  <cp:keywords/>
  <dc:description/>
  <cp:lastModifiedBy>Rachael Fitch</cp:lastModifiedBy>
  <cp:revision>3</cp:revision>
  <dcterms:created xsi:type="dcterms:W3CDTF">2025-05-15T18:20:00Z</dcterms:created>
  <dcterms:modified xsi:type="dcterms:W3CDTF">2025-05-15T18:44:00Z</dcterms:modified>
</cp:coreProperties>
</file>